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D76BB7" w:rsidRPr="00D76BB7" w14:paraId="0CBAD023" w14:textId="77777777" w:rsidTr="00A43578">
        <w:trPr>
          <w:trHeight w:val="379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1708D7" w14:textId="69DB82FD" w:rsidR="00D76BB7" w:rsidRPr="00D76BB7" w:rsidRDefault="00D76BB7" w:rsidP="00D76B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D76BB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FORMULÁŘ PRO VRÁCENÍ ZBOŽÍ</w:t>
            </w:r>
          </w:p>
        </w:tc>
      </w:tr>
      <w:tr w:rsidR="00D76BB7" w:rsidRPr="00D76BB7" w14:paraId="373DA6E4" w14:textId="77777777" w:rsidTr="00A43578">
        <w:trPr>
          <w:trHeight w:val="292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75CF92BF" w14:textId="2202C306" w:rsidR="00D76BB7" w:rsidRPr="00D76BB7" w:rsidRDefault="00D76BB7" w:rsidP="00D76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ZÁKAZNÍK</w:t>
            </w:r>
          </w:p>
        </w:tc>
      </w:tr>
      <w:tr w:rsidR="00D76BB7" w:rsidRPr="00D76BB7" w14:paraId="3DDE4889" w14:textId="77777777" w:rsidTr="00A43578">
        <w:trPr>
          <w:trHeight w:val="2887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5BA823" w14:textId="03E47771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proofErr w:type="spell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Jméno</w:t>
            </w:r>
            <w:proofErr w:type="spell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: </w:t>
            </w:r>
          </w:p>
          <w:p w14:paraId="2EBE6B3F" w14:textId="1D881D8D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proofErr w:type="spell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Příjmen</w:t>
            </w:r>
            <w:r w:rsidR="00A43578"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í</w:t>
            </w:r>
            <w:proofErr w:type="spellEnd"/>
            <w:r w:rsidR="00A43578"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:</w:t>
            </w:r>
          </w:p>
          <w:p w14:paraId="5DD5CC38" w14:textId="184F139C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Adresa</w:t>
            </w:r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14:paraId="393C1AA8" w14:textId="2CB01646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Telefon:</w:t>
            </w:r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14:paraId="05932DE5" w14:textId="7A5343A8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Datum zakoupení </w:t>
            </w:r>
            <w:proofErr w:type="spell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zboži</w:t>
            </w:r>
            <w:proofErr w:type="spell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́:</w:t>
            </w:r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14:paraId="23B68962" w14:textId="77777777" w:rsidR="00D76BB7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18"/>
                <w:szCs w:val="18"/>
                <w:lang w:eastAsia="cs-CZ"/>
              </w:rPr>
            </w:pPr>
            <w:proofErr w:type="spell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Číslo</w:t>
            </w:r>
            <w:proofErr w:type="spell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 faktury</w:t>
            </w:r>
            <w:r w:rsidRPr="00D76BB7">
              <w:rPr>
                <w:rFonts w:ascii="PTSans" w:eastAsia="Times New Roman" w:hAnsi="PTSans" w:cs="Times New Roman"/>
                <w:color w:val="212D30"/>
                <w:sz w:val="18"/>
                <w:szCs w:val="18"/>
                <w:lang w:eastAsia="cs-CZ"/>
              </w:rPr>
              <w:t xml:space="preserve">: </w:t>
            </w:r>
          </w:p>
          <w:p w14:paraId="43F58AE5" w14:textId="6A6AF143" w:rsidR="00A43578" w:rsidRPr="00D76BB7" w:rsidRDefault="00A43578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18"/>
                <w:szCs w:val="18"/>
                <w:lang w:eastAsia="cs-CZ"/>
              </w:rPr>
            </w:pPr>
          </w:p>
        </w:tc>
      </w:tr>
      <w:tr w:rsidR="00D76BB7" w:rsidRPr="00D76BB7" w14:paraId="50B51EB7" w14:textId="77777777" w:rsidTr="00A43578">
        <w:trPr>
          <w:trHeight w:val="292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13918557" w14:textId="6A578545" w:rsidR="00D76BB7" w:rsidRPr="00D76BB7" w:rsidRDefault="00D76BB7" w:rsidP="00D76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t>POSTUP PRO VRÁCENÍ ZBOŽÍ</w:t>
            </w:r>
            <w:r>
              <w:rPr>
                <w:rFonts w:ascii="PTSans" w:eastAsia="Times New Roman" w:hAnsi="PTSans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</w:t>
            </w:r>
            <w:r w:rsidRPr="00D76BB7">
              <w:rPr>
                <w:rFonts w:ascii="PTSans" w:eastAsia="Times New Roman" w:hAnsi="PTSans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6BB7" w:rsidRPr="00D76BB7" w14:paraId="6B1CF016" w14:textId="77777777" w:rsidTr="00A43578">
        <w:trPr>
          <w:trHeight w:val="2624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D66E8A0" w14:textId="77777777" w:rsidR="00A43578" w:rsidRDefault="00D76BB7" w:rsidP="00A43578">
            <w:pPr>
              <w:pStyle w:val="Bezmezer"/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</w:pP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Zakoupené zboží můžete v zákonné lhůtě </w:t>
            </w:r>
            <w:proofErr w:type="gram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14ti</w:t>
            </w:r>
            <w:proofErr w:type="gram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 kalendářních dní od doručení vrátit bez udání důvodu dle </w:t>
            </w:r>
          </w:p>
          <w:p w14:paraId="2BE6F9B3" w14:textId="1FF739A3" w:rsidR="006C5672" w:rsidRPr="00A43578" w:rsidRDefault="00D76BB7" w:rsidP="00A43578">
            <w:pPr>
              <w:pStyle w:val="Bezmezer"/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</w:pP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§1829 občanského zákoníku (zákon č. 89/2012 Sb.). Veškeré vrácené zboží musí být nepoškozené a nenošené (pouze vyzkoušené) opatřené originální visačkou (cenovkou). V případě, že zboží vrátíte zboží, jež bude jevit známky nošení, bude Vám zasláno zpět na Vaše náklady. </w:t>
            </w:r>
            <w:proofErr w:type="gram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14ti denní</w:t>
            </w:r>
            <w:proofErr w:type="gram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 lhůta pro vrácení zboží započítá následující kalendářní den od převzetí zásilky. Součástí balíčku musí být vyplněný tento Formulář pro navrácení. Převzaté zboží zkontrolujeme a pokud bude v pořádku, do </w:t>
            </w:r>
            <w:proofErr w:type="gram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5ti</w:t>
            </w:r>
            <w:proofErr w:type="gram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 pracovních dní od obdržení zásilky Vám budou navráceny peníze na bankovní účet. Poštovné za vrácené zboží hradí zákazník, nikoliv prodejce. Zboží zašlete </w:t>
            </w:r>
            <w:r w:rsidR="006C5672"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prosím </w:t>
            </w: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bez dobírky na adresu:</w:t>
            </w:r>
          </w:p>
          <w:p w14:paraId="1A8F1007" w14:textId="77777777" w:rsidR="0063288F" w:rsidRPr="00A43578" w:rsidRDefault="00D76BB7" w:rsidP="0063288F">
            <w:pPr>
              <w:pStyle w:val="Bezmezer"/>
              <w:rPr>
                <w:b/>
                <w:bCs/>
                <w:sz w:val="20"/>
                <w:szCs w:val="20"/>
              </w:rPr>
            </w:pPr>
            <w:proofErr w:type="spellStart"/>
            <w:r w:rsidRPr="00A43578">
              <w:rPr>
                <w:b/>
                <w:bCs/>
                <w:sz w:val="20"/>
                <w:szCs w:val="20"/>
              </w:rPr>
              <w:t>Sportalm</w:t>
            </w:r>
            <w:proofErr w:type="spellEnd"/>
            <w:r w:rsidRPr="00A43578">
              <w:rPr>
                <w:b/>
                <w:bCs/>
                <w:sz w:val="20"/>
                <w:szCs w:val="20"/>
              </w:rPr>
              <w:t xml:space="preserve"> Plzeň nám. Republiky 97/7, 301 00 Plzeň</w:t>
            </w:r>
            <w:r w:rsidR="0063288F" w:rsidRPr="00A4357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809A12" w14:textId="73A84C96" w:rsidR="00D76BB7" w:rsidRPr="00A43578" w:rsidRDefault="0063288F" w:rsidP="0063288F">
            <w:pPr>
              <w:pStyle w:val="Bezmezer"/>
              <w:rPr>
                <w:b/>
                <w:bCs/>
                <w:sz w:val="20"/>
                <w:szCs w:val="20"/>
              </w:rPr>
            </w:pPr>
            <w:r w:rsidRPr="00A43578">
              <w:rPr>
                <w:b/>
                <w:bCs/>
                <w:sz w:val="20"/>
                <w:szCs w:val="20"/>
              </w:rPr>
              <w:t xml:space="preserve">tel. 776 585 166 </w:t>
            </w:r>
          </w:p>
          <w:p w14:paraId="4F683097" w14:textId="212DB59C" w:rsidR="00D76BB7" w:rsidRPr="00D76BB7" w:rsidRDefault="00D76BB7" w:rsidP="00D76B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6BB7" w:rsidRPr="00D76BB7" w14:paraId="616A04E8" w14:textId="77777777" w:rsidTr="00A43578">
        <w:trPr>
          <w:trHeight w:val="292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50337706" w14:textId="05577C72" w:rsidR="00D76BB7" w:rsidRPr="00D76BB7" w:rsidRDefault="00D76BB7" w:rsidP="00D76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VRÁCENÝ PRODUKT</w:t>
            </w:r>
          </w:p>
        </w:tc>
      </w:tr>
      <w:tr w:rsidR="00D76BB7" w:rsidRPr="00D76BB7" w14:paraId="00D1CB9A" w14:textId="77777777" w:rsidTr="00A43578">
        <w:trPr>
          <w:trHeight w:val="2712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A7CFF9" w14:textId="34703408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Název položky:</w:t>
            </w:r>
          </w:p>
          <w:p w14:paraId="4F88EE92" w14:textId="1704C098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C5D3992" w14:textId="77777777" w:rsidR="006C5672" w:rsidRDefault="006C5672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895A8A4" w14:textId="533544CF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Velikost:</w:t>
            </w:r>
          </w:p>
          <w:p w14:paraId="3D9D9703" w14:textId="0F767247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E0AD845" w14:textId="77777777" w:rsidR="006C5672" w:rsidRDefault="006C5672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2668ACE" w14:textId="61B71173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Barva:</w:t>
            </w:r>
          </w:p>
          <w:p w14:paraId="47254DEE" w14:textId="7D2B858A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61DE894" w14:textId="77777777" w:rsid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C5415B6" w14:textId="67077F34" w:rsidR="00D76BB7" w:rsidRPr="00D76BB7" w:rsidRDefault="00D76BB7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76BB7" w:rsidRPr="00D76BB7" w14:paraId="40D3AAB6" w14:textId="77777777" w:rsidTr="00A43578">
        <w:trPr>
          <w:trHeight w:val="292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0B7C7651" w14:textId="3E2B8B79" w:rsidR="00D76BB7" w:rsidRPr="00D76BB7" w:rsidRDefault="00D76BB7" w:rsidP="00D76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t>BANKOVNÍ ÚČET PRO ZASLÁNÍ ČÁSTKY ZA VRÁCENÉ ZBOŽÍ</w:t>
            </w:r>
          </w:p>
        </w:tc>
      </w:tr>
      <w:tr w:rsidR="00D76BB7" w:rsidRPr="00D76BB7" w14:paraId="4CB5AED1" w14:textId="77777777" w:rsidTr="00A43578">
        <w:trPr>
          <w:trHeight w:val="2420"/>
        </w:trPr>
        <w:tc>
          <w:tcPr>
            <w:tcW w:w="96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48F0AF" w14:textId="104B3AB8" w:rsidR="00D76BB7" w:rsidRPr="00D76BB7" w:rsidRDefault="006C5672" w:rsidP="00D76BB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instrText xml:space="preserve"> INCLUDEPICTURE "/var/folders/tw/q41f0h5179j63sn6hgwvhg8c0000gn/T/com.microsoft.Word/WebArchiveCopyPasteTempFiles/page1image1325354800" \* MERGEFORMATINET </w:instrText>
            </w: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  <w:r w:rsidRPr="00D76BB7">
              <w:rPr>
                <w:rFonts w:ascii="Times New Roman" w:eastAsia="Times New Roman" w:hAnsi="Times New Roman" w:cs="Times New Roman"/>
                <w:noProof/>
                <w:lang w:eastAsia="cs-CZ"/>
              </w:rPr>
              <w:drawing>
                <wp:inline distT="0" distB="0" distL="0" distR="0" wp14:anchorId="311856E6" wp14:editId="0DCA75EC">
                  <wp:extent cx="5756910" cy="235585"/>
                  <wp:effectExtent l="0" t="0" r="0" b="5715"/>
                  <wp:docPr id="1" name="Obrázek 1" descr="page1image132535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325354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BB7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</w:p>
          <w:p w14:paraId="3593115A" w14:textId="77777777" w:rsidR="00D76BB7" w:rsidRPr="00A43578" w:rsidRDefault="00D76BB7" w:rsidP="00D76BB7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</w:pPr>
            <w:proofErr w:type="gram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Dne:</w:t>
            </w:r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</w:t>
            </w:r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Podpis </w:t>
            </w:r>
            <w:proofErr w:type="spellStart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>zákazníka</w:t>
            </w:r>
            <w:proofErr w:type="spellEnd"/>
            <w:r w:rsidRPr="00A43578">
              <w:rPr>
                <w:rFonts w:ascii="PTSans" w:eastAsia="Times New Roman" w:hAnsi="PTSans" w:cs="Times New Roman"/>
                <w:color w:val="212D30"/>
                <w:sz w:val="20"/>
                <w:szCs w:val="20"/>
                <w:lang w:eastAsia="cs-CZ"/>
              </w:rPr>
              <w:t xml:space="preserve">: </w:t>
            </w:r>
            <w:r w:rsidRPr="00A43578">
              <w:rPr>
                <w:rFonts w:ascii="PTSans" w:eastAsia="Times New Roman" w:hAnsi="PTSans" w:cs="Times New Roman"/>
                <w:color w:val="2DFF93"/>
                <w:sz w:val="20"/>
                <w:szCs w:val="20"/>
                <w:lang w:eastAsia="cs-CZ"/>
              </w:rPr>
              <w:t xml:space="preserve">. </w:t>
            </w:r>
          </w:p>
          <w:p w14:paraId="70461C39" w14:textId="2B1A9356" w:rsidR="006C5672" w:rsidRPr="00D76BB7" w:rsidRDefault="006C5672" w:rsidP="00D76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E930A16" w14:textId="77777777" w:rsidR="005051A0" w:rsidRDefault="00000000"/>
    <w:sectPr w:rsidR="005051A0" w:rsidSect="00372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Sans">
    <w:altName w:val="Arial"/>
    <w:panose1 w:val="020B05030202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7"/>
    <w:rsid w:val="003725B1"/>
    <w:rsid w:val="0063288F"/>
    <w:rsid w:val="006C5672"/>
    <w:rsid w:val="00706135"/>
    <w:rsid w:val="00A43578"/>
    <w:rsid w:val="00D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91037"/>
  <w14:defaultImageDpi w14:val="32767"/>
  <w15:chartTrackingRefBased/>
  <w15:docId w15:val="{2A2DC4AD-87DE-F842-95BA-63E246BB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bold">
    <w:name w:val="bold"/>
    <w:basedOn w:val="Standardnpsmoodstavce"/>
    <w:rsid w:val="00D76BB7"/>
  </w:style>
  <w:style w:type="character" w:customStyle="1" w:styleId="apple-converted-space">
    <w:name w:val="apple-converted-space"/>
    <w:basedOn w:val="Standardnpsmoodstavce"/>
    <w:rsid w:val="00D76BB7"/>
  </w:style>
  <w:style w:type="paragraph" w:styleId="Bezmezer">
    <w:name w:val="No Spacing"/>
    <w:uiPriority w:val="1"/>
    <w:qFormat/>
    <w:rsid w:val="006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Lehečková</dc:creator>
  <cp:keywords/>
  <dc:description/>
  <cp:lastModifiedBy>Michaela Lehečková</cp:lastModifiedBy>
  <cp:revision>3</cp:revision>
  <cp:lastPrinted>2022-07-26T19:59:00Z</cp:lastPrinted>
  <dcterms:created xsi:type="dcterms:W3CDTF">2022-07-26T19:32:00Z</dcterms:created>
  <dcterms:modified xsi:type="dcterms:W3CDTF">2022-07-26T20:00:00Z</dcterms:modified>
</cp:coreProperties>
</file>